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s wpg wpi">
  <w:body>
    <w:p>
      <w:pPr>
        <w:pStyle w:val="Heading1"/>
        <w:keepNext/>
        <w:keepLines/>
        <w:spacing w:after="180" w:line="252" w:lineRule="auto"/>
        <w:jc w:val="left"/>
        <w:outlineLvl w:val="0"/>
      </w:pPr>
      <w:r>
        <w:rPr>
          <w:rFonts w:ascii="Carlito" w:hAnsi="Carlito" w:cs="Carlito"/>
          <w:noProof/>
          <w:color w:val="000000"/>
          <w:sz w:val="48"/>
          <w:szCs w:val="48"/>
          <w:lang w:val="en-US" w:eastAsia="en-US"/>
        </w:rPr>
        <w:t xml:space="preserve">Q2 FY2026 Client Performance Report</w:t>
      </w:r>
    </w:p>
    <w:p>
      <w:pPr>
        <w:spacing w:after="120" w:line="293" w:lineRule="auto"/>
        <w:jc w:val="left"/>
      </w:pPr>
      <w:r>
        <w:rPr>
          <w:rFonts w:ascii="Carlito" w:hAnsi="Carlito" w:cs="Carlito"/>
          <w:noProof/>
          <w:color w:val="000000"/>
          <w:sz w:val="21"/>
          <w:szCs w:val="21"/>
          <w:lang w:val="en-US" w:eastAsia="en-US"/>
        </w:rPr>
        <w:t xml:space="preserve">Lattice Harbor Software, Q2 FY2026</w:t>
      </w:r>
    </w:p>
    <w:p>
      <w:pPr>
        <w:pStyle w:val="Heading2"/>
        <w:keepNext/>
        <w:keepLines/>
        <w:spacing w:before="240" w:after="120" w:line="252" w:lineRule="auto"/>
        <w:jc w:val="left"/>
        <w:outlineLvl w:val="1"/>
      </w:pPr>
      <w:r>
        <w:rPr>
          <w:rFonts w:ascii="Carlito" w:hAnsi="Carlito" w:cs="Carlito"/>
          <w:noProof/>
          <w:color w:val="000000"/>
          <w:sz w:val="40"/>
          <w:szCs w:val="40"/>
          <w:lang w:val="en-US" w:eastAsia="en-US"/>
        </w:rPr>
        <w:t xml:space="preserve">Executive summary</w:t>
      </w:r>
    </w:p>
    <w:p>
      <w:pPr>
        <w:keepLines/>
        <w:pBdr>
          <w:top w:val="single" w:sz="8" w:space="14" w:color="B8CBE1"/>
          <w:left w:val="single" w:sz="8" w:space="16" w:color="B8CBE1"/>
          <w:bottom w:val="single" w:sz="8" w:space="14" w:color="B8CBE1"/>
          <w:right w:val="single" w:sz="8" w:space="16" w:color="B8CBE1"/>
        </w:pBdr>
        <w:shd w:val="clear" w:color="auto" w:fill="EEF4FB"/>
        <w:spacing w:before="210" w:after="360" w:line="300" w:lineRule="auto"/>
        <w:ind w:left="240" w:right="240"/>
        <w:jc w:val="left"/>
      </w:pPr>
      <w:r>
        <w:rPr>
          <w:rFonts w:ascii="Carlito" w:hAnsi="Carlito" w:cs="Carlito"/>
          <w:noProof/>
          <w:color w:val="000000"/>
          <w:sz w:val="21"/>
          <w:szCs w:val="21"/>
          <w:lang w:val="en-US" w:eastAsia="en-US"/>
        </w:rPr>
        <w:t xml:space="preserve">Expansion performance and disciplined spending keep free-cash-flow breakeven on track for Q4 FY2026.</w:t>
      </w:r>
    </w:p>
    <w:p>
      <w:pPr>
        <w:pStyle w:val="Heading2"/>
        <w:keepNext/>
        <w:keepLines/>
        <w:spacing w:before="240" w:after="120" w:line="252" w:lineRule="auto"/>
        <w:jc w:val="left"/>
        <w:outlineLvl w:val="1"/>
      </w:pPr>
      <w:r>
        <w:rPr>
          <w:rFonts w:ascii="Carlito" w:hAnsi="Carlito" w:cs="Carlito"/>
          <w:noProof/>
          <w:color w:val="000000"/>
          <w:sz w:val="40"/>
          <w:szCs w:val="40"/>
          <w:lang w:val="en-US" w:eastAsia="en-US"/>
        </w:rPr>
        <w:t xml:space="preserve">Reported metrics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108" w:type="dxa"/>
          <w:bottom w:w="72" w:type="dxa"/>
          <w:right w:w="108" w:type="dxa"/>
        </w:tblCellMar>
        <w:tblCaption w:val="Reported metrics"/>
        <w:tblDescription w:val="Reported metrics"/>
      </w:tblPr>
      <w:tblGrid>
        <w:gridCol w:w="4880"/>
        <w:gridCol w:w="2200"/>
        <w:gridCol w:w="2320"/>
      </w:tblGrid>
      <w:tr>
        <w:trPr>
          <w:cantSplit/>
          <w:trHeight w:val="300" w:hRule="atLeast"/>
          <w:tblHeader/>
        </w:trPr>
        <w:tc>
          <w:tcPr>
            <w:tcW w:w="48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Measure</w:t>
            </w:r>
          </w:p>
        </w:tc>
        <w:tc>
          <w:tcPr>
            <w:tcW w:w="2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Value</w:t>
            </w:r>
          </w:p>
        </w:tc>
        <w:tc>
          <w:tcPr>
            <w:tcW w:w="2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Status</w:t>
            </w:r>
          </w:p>
        </w:tc>
      </w:tr>
      <w:tr>
        <w:trPr>
          <w:cantSplit/>
          <w:trHeight w:val="300" w:hRule="atLeast"/>
        </w:trPr>
        <w:tc>
          <w:tcPr>
            <w:tcW w:w="48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Ending ARR</w:t>
            </w:r>
          </w:p>
        </w:tc>
        <w:tc>
          <w:tcPr>
            <w:tcW w:w="2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right"/>
            </w:pPr>
            <w:r>
              <w:rPr>
                <w:rFonts w:ascii="Carlito" w:hAnsi="Carlito" w:cs="Carlito"/>
                <w:b/>
                <w:noProof/>
                <w:color w:val="1E293B"/>
                <w:sz w:val="21"/>
                <w:szCs w:val="21"/>
                <w:lang w:val="en-US" w:eastAsia="en-US"/>
              </w:rPr>
              <w:t xml:space="preserve">$214.3M</w:t>
            </w:r>
          </w:p>
        </w:tc>
        <w:tc>
          <w:tcPr>
            <w:tcW w:w="2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8F3E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8F3EC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23633F"/>
                <w:sz w:val="21"/>
                <w:szCs w:val="21"/>
                <w:lang w:val="en-US" w:eastAsia="en-US"/>
              </w:rPr>
              <w:t xml:space="preserve">Ahead</w:t>
            </w:r>
          </w:p>
        </w:tc>
      </w:tr>
      <w:tr>
        <w:trPr>
          <w:cantSplit/>
          <w:trHeight w:val="300" w:hRule="atLeast"/>
        </w:trPr>
        <w:tc>
          <w:tcPr>
            <w:tcW w:w="48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Net revenue retention</w:t>
            </w:r>
          </w:p>
        </w:tc>
        <w:tc>
          <w:tcPr>
            <w:tcW w:w="2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3E6EA"/>
              <w:spacing w:line="276" w:lineRule="auto"/>
              <w:jc w:val="right"/>
            </w:pPr>
            <w:r>
              <w:rPr>
                <w:rFonts w:ascii="Carlito" w:hAnsi="Carlito" w:cs="Carlito"/>
                <w:b/>
                <w:noProof/>
                <w:color w:val="1E293B"/>
                <w:sz w:val="21"/>
                <w:szCs w:val="21"/>
                <w:lang w:val="en-US" w:eastAsia="en-US"/>
              </w:rPr>
              <w:t xml:space="preserve">116%</w:t>
            </w:r>
          </w:p>
        </w:tc>
        <w:tc>
          <w:tcPr>
            <w:tcW w:w="2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8F3E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8F3EC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23633F"/>
                <w:sz w:val="21"/>
                <w:szCs w:val="21"/>
                <w:lang w:val="en-US" w:eastAsia="en-US"/>
              </w:rPr>
              <w:t xml:space="preserve">Ahead</w:t>
            </w:r>
          </w:p>
        </w:tc>
      </w:tr>
      <w:tr>
        <w:trPr>
          <w:cantSplit/>
          <w:trHeight w:val="300" w:hRule="atLeast"/>
        </w:trPr>
        <w:tc>
          <w:tcPr>
            <w:tcW w:w="48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Gross margin</w:t>
            </w:r>
          </w:p>
        </w:tc>
        <w:tc>
          <w:tcPr>
            <w:tcW w:w="2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right"/>
            </w:pPr>
            <w:r>
              <w:rPr>
                <w:rFonts w:ascii="Carlito" w:hAnsi="Carlito" w:cs="Carlito"/>
                <w:b/>
                <w:noProof/>
                <w:color w:val="1E293B"/>
                <w:sz w:val="21"/>
                <w:szCs w:val="21"/>
                <w:lang w:val="en-US" w:eastAsia="en-US"/>
              </w:rPr>
              <w:t xml:space="preserve">79.8%</w:t>
            </w:r>
          </w:p>
        </w:tc>
        <w:tc>
          <w:tcPr>
            <w:tcW w:w="2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EF4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EF4FB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17324D"/>
                <w:sz w:val="21"/>
                <w:szCs w:val="21"/>
                <w:lang w:val="en-US" w:eastAsia="en-US"/>
              </w:rPr>
              <w:t xml:space="preserve">On plan</w:t>
            </w:r>
          </w:p>
        </w:tc>
      </w:tr>
      <w:tr>
        <w:trPr>
          <w:cantSplit/>
          <w:trHeight w:val="300" w:hRule="atLeast"/>
        </w:trPr>
        <w:tc>
          <w:tcPr>
            <w:tcW w:w="48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Qualified pipeline</w:t>
            </w:r>
          </w:p>
        </w:tc>
        <w:tc>
          <w:tcPr>
            <w:tcW w:w="2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right"/>
            </w:pPr>
            <w:r>
              <w:rPr>
                <w:rFonts w:ascii="Carlito" w:hAnsi="Carlito" w:cs="Carlito"/>
                <w:b/>
                <w:noProof/>
                <w:color w:val="1E293B"/>
                <w:sz w:val="21"/>
                <w:szCs w:val="21"/>
                <w:lang w:val="en-US" w:eastAsia="en-US"/>
              </w:rPr>
              <w:t xml:space="preserve">$31.4M</w:t>
            </w:r>
          </w:p>
        </w:tc>
        <w:tc>
          <w:tcPr>
            <w:tcW w:w="2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FFF3D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FFF3D6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855D00"/>
                <w:sz w:val="21"/>
                <w:szCs w:val="21"/>
                <w:lang w:val="en-US" w:eastAsia="en-US"/>
              </w:rPr>
              <w:t xml:space="preserve">Behind</w:t>
            </w:r>
          </w:p>
        </w:tc>
      </w:tr>
    </w:tbl>
    <w:p>
      <w:pPr>
        <w:spacing w:before="80" w:after="0" w:line="20" w:lineRule="exact"/>
      </w:pPr>
    </w:p>
    <w:p>
      <w:pPr>
        <w:pStyle w:val="Heading2"/>
        <w:keepNext/>
        <w:keepLines/>
        <w:spacing w:before="240" w:after="120" w:line="252" w:lineRule="auto"/>
        <w:jc w:val="left"/>
        <w:outlineLvl w:val="1"/>
      </w:pPr>
      <w:r>
        <w:rPr>
          <w:rFonts w:ascii="Carlito" w:hAnsi="Carlito" w:cs="Carlito"/>
          <w:noProof/>
          <w:color w:val="000000"/>
          <w:sz w:val="40"/>
          <w:szCs w:val="40"/>
          <w:lang w:val="en-US" w:eastAsia="en-US"/>
        </w:rPr>
        <w:t xml:space="preserve">Regional performance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108" w:type="dxa"/>
          <w:bottom w:w="72" w:type="dxa"/>
          <w:right w:w="108" w:type="dxa"/>
        </w:tblCellMar>
        <w:tblCaption w:val="Regional performance"/>
        <w:tblDescription w:val="Regional performance"/>
      </w:tblPr>
      <w:tblGrid>
        <w:gridCol w:w="4200"/>
        <w:gridCol w:w="2600"/>
        <w:gridCol w:w="2600"/>
      </w:tblGrid>
      <w:tr>
        <w:trPr>
          <w:cantSplit/>
          <w:trHeight w:val="300" w:hRule="atLeast"/>
          <w:tblHeader/>
        </w:trPr>
        <w:tc>
          <w:tcPr>
            <w:tcW w:w="4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Region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Net new ARR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Status</w:t>
            </w:r>
          </w:p>
        </w:tc>
      </w:tr>
      <w:tr>
        <w:trPr>
          <w:cantSplit/>
          <w:trHeight w:val="300" w:hRule="atLeast"/>
        </w:trPr>
        <w:tc>
          <w:tcPr>
            <w:tcW w:w="4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North America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center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$8.6M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8F3E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8F3EC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23633F"/>
                <w:sz w:val="21"/>
                <w:szCs w:val="21"/>
                <w:lang w:val="en-US" w:eastAsia="en-US"/>
              </w:rPr>
              <w:t xml:space="preserve">Ahead</w:t>
            </w:r>
          </w:p>
        </w:tc>
      </w:tr>
      <w:tr>
        <w:trPr>
          <w:cantSplit/>
          <w:trHeight w:val="300" w:hRule="atLeast"/>
        </w:trPr>
        <w:tc>
          <w:tcPr>
            <w:tcW w:w="4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EMEA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3E6EA"/>
              <w:spacing w:line="276" w:lineRule="auto"/>
              <w:jc w:val="center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$2.4M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FFF3D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FFF3D6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855D00"/>
                <w:sz w:val="21"/>
                <w:szCs w:val="21"/>
                <w:lang w:val="en-US" w:eastAsia="en-US"/>
              </w:rPr>
              <w:t xml:space="preserve">Behind</w:t>
            </w:r>
          </w:p>
        </w:tc>
      </w:tr>
      <w:tr>
        <w:trPr>
          <w:cantSplit/>
          <w:trHeight w:val="300" w:hRule="atLeast"/>
        </w:trPr>
        <w:tc>
          <w:tcPr>
            <w:tcW w:w="42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APAC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$1.3M</w:t>
            </w:r>
          </w:p>
        </w:tc>
        <w:tc>
          <w:tcPr>
            <w:tcW w:w="26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EF4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EF4FB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17324D"/>
                <w:sz w:val="21"/>
                <w:szCs w:val="21"/>
                <w:lang w:val="en-US" w:eastAsia="en-US"/>
              </w:rPr>
              <w:t xml:space="preserve">On plan</w:t>
            </w:r>
          </w:p>
        </w:tc>
      </w:tr>
    </w:tbl>
    <w:p>
      <w:pPr>
        <w:spacing w:before="80" w:after="0" w:line="20" w:lineRule="exact"/>
        <w:sectPr>
          <w:pgSz w:w="12240" w:h="15840"/>
          <w:pgMar w:top="1200" w:right="1125" w:bottom="1155" w:left="1125" w:header="720" w:footer="720" w:gutter="0"/>
          <w:cols w:space="720"/>
          <w:docGrid w:linePitch="360"/>
        </w:sectPr>
      </w:pPr>
    </w:p>
    <w:p>
      <w:pPr>
        <w:pStyle w:val="Heading1"/>
        <w:keepNext/>
        <w:keepLines/>
        <w:spacing w:after="180" w:line="252" w:lineRule="auto"/>
        <w:jc w:val="left"/>
        <w:outlineLvl w:val="0"/>
      </w:pPr>
      <w:r>
        <w:rPr>
          <w:rFonts w:ascii="Carlito" w:hAnsi="Carlito" w:cs="Carlito"/>
          <w:noProof/>
          <w:color w:val="000000"/>
          <w:sz w:val="48"/>
          <w:szCs w:val="48"/>
          <w:lang w:val="en-US" w:eastAsia="en-US"/>
        </w:rPr>
        <w:t xml:space="preserve">Performance review</w:t>
      </w:r>
    </w:p>
    <w:p>
      <w:pPr>
        <w:pStyle w:val="Heading2"/>
        <w:keepNext/>
        <w:keepLines/>
        <w:spacing w:before="240" w:after="120" w:line="252" w:lineRule="auto"/>
        <w:jc w:val="left"/>
        <w:outlineLvl w:val="1"/>
      </w:pPr>
      <w:r>
        <w:rPr>
          <w:rFonts w:ascii="Carlito" w:hAnsi="Carlito" w:cs="Carlito"/>
          <w:noProof/>
          <w:color w:val="000000"/>
          <w:sz w:val="40"/>
          <w:szCs w:val="40"/>
          <w:lang w:val="en-US" w:eastAsia="en-US"/>
        </w:rPr>
        <w:t xml:space="preserve">Operating commentary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108" w:type="dxa"/>
          <w:bottom w:w="72" w:type="dxa"/>
          <w:right w:w="108" w:type="dxa"/>
        </w:tblCellMar>
        <w:tblCaption w:val="Operating commentary"/>
        <w:tblDescription w:val="Operating commentary"/>
      </w:tblPr>
      <w:tblGrid>
        <w:gridCol w:w="3000"/>
        <w:gridCol w:w="6400"/>
      </w:tblGrid>
      <w:tr>
        <w:trPr>
          <w:cantSplit/>
          <w:trHeight w:val="300" w:hRule="atLeast"/>
          <w:tblHeader/>
        </w:trPr>
        <w:tc>
          <w:tcPr>
            <w:tcW w:w="3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Area</w:t>
            </w:r>
          </w:p>
        </w:tc>
        <w:tc>
          <w:tcPr>
            <w:tcW w:w="6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Review</w:t>
            </w:r>
          </w:p>
        </w:tc>
      </w:tr>
      <w:tr>
        <w:trPr>
          <w:cantSplit/>
          <w:trHeight w:val="300" w:hRule="atLeast"/>
        </w:trPr>
        <w:tc>
          <w:tcPr>
            <w:tcW w:w="3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Revenue and retention</w:t>
            </w:r>
          </w:p>
        </w:tc>
        <w:tc>
          <w:tcPr>
            <w:tcW w:w="6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Expansion performance offsets slower new-logo bookings; weekly operating review focuses on capacity and cycle time.</w:t>
            </w:r>
          </w:p>
        </w:tc>
      </w:tr>
      <w:tr>
        <w:trPr>
          <w:cantSplit/>
          <w:trHeight w:val="300" w:hRule="atLeast"/>
        </w:trPr>
        <w:tc>
          <w:tcPr>
            <w:tcW w:w="3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Pipeline coverage</w:t>
            </w:r>
          </w:p>
        </w:tc>
        <w:tc>
          <w:tcPr>
            <w:tcW w:w="6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Qualified pipeline requires executive inspection of concentrated late-stage opportunities.</w:t>
            </w:r>
          </w:p>
        </w:tc>
      </w:tr>
    </w:tbl>
    <w:p>
      <w:pPr>
        <w:spacing w:before="80" w:after="0" w:line="20" w:lineRule="exact"/>
      </w:pPr>
    </w:p>
    <w:p>
      <w:pPr>
        <w:pStyle w:val="Heading2"/>
        <w:keepNext/>
        <w:keepLines/>
        <w:spacing w:before="240" w:after="120" w:line="252" w:lineRule="auto"/>
        <w:jc w:val="left"/>
        <w:outlineLvl w:val="1"/>
      </w:pPr>
      <w:r>
        <w:rPr>
          <w:rFonts w:ascii="Carlito" w:hAnsi="Carlito" w:cs="Carlito"/>
          <w:noProof/>
          <w:color w:val="000000"/>
          <w:sz w:val="40"/>
          <w:szCs w:val="40"/>
          <w:lang w:val="en-US" w:eastAsia="en-US"/>
        </w:rPr>
        <w:t xml:space="preserve">Priorities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108" w:type="dxa"/>
          <w:bottom w:w="72" w:type="dxa"/>
          <w:right w:w="108" w:type="dxa"/>
        </w:tblCellMar>
        <w:tblCaption w:val="Priorities"/>
        <w:tblDescription w:val="Priorities"/>
      </w:tblPr>
      <w:tblGrid>
        <w:gridCol w:w="1080"/>
        <w:gridCol w:w="8320"/>
      </w:tblGrid>
      <w:tr>
        <w:trPr>
          <w:cantSplit/>
          <w:trHeight w:val="300" w:hRule="atLeast"/>
          <w:tblHeader/>
        </w:trPr>
        <w:tc>
          <w:tcPr>
            <w:tcW w:w="10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No.</w:t>
            </w:r>
          </w:p>
        </w:tc>
        <w:tc>
          <w:tcPr>
            <w:tcW w:w="8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Action</w:t>
            </w:r>
          </w:p>
        </w:tc>
      </w:tr>
      <w:tr>
        <w:trPr>
          <w:cantSplit/>
          <w:trHeight w:val="300" w:hRule="atLeast"/>
        </w:trPr>
        <w:tc>
          <w:tcPr>
            <w:tcW w:w="10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center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1</w:t>
            </w:r>
          </w:p>
        </w:tc>
        <w:tc>
          <w:tcPr>
            <w:tcW w:w="8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Fill four EMEA enterprise account-executive seats by 31 July.</w:t>
            </w:r>
          </w:p>
        </w:tc>
      </w:tr>
      <w:tr>
        <w:trPr>
          <w:cantSplit/>
          <w:trHeight w:val="300" w:hRule="atLeast"/>
        </w:trPr>
        <w:tc>
          <w:tcPr>
            <w:tcW w:w="108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center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2</w:t>
            </w:r>
          </w:p>
        </w:tc>
        <w:tc>
          <w:tcPr>
            <w:tcW w:w="832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Introduce mutual close plans at stage 3.</w:t>
            </w:r>
          </w:p>
        </w:tc>
      </w:tr>
    </w:tbl>
    <w:p>
      <w:pPr>
        <w:spacing w:before="80" w:after="0" w:line="20" w:lineRule="exact"/>
      </w:pPr>
    </w:p>
    <w:p>
      <w:pPr>
        <w:pStyle w:val="Heading2"/>
        <w:keepNext/>
        <w:keepLines/>
        <w:spacing w:before="240" w:after="120" w:line="252" w:lineRule="auto"/>
        <w:jc w:val="left"/>
        <w:outlineLvl w:val="1"/>
      </w:pPr>
      <w:r>
        <w:rPr>
          <w:rFonts w:ascii="Carlito" w:hAnsi="Carlito" w:cs="Carlito"/>
          <w:noProof/>
          <w:color w:val="000000"/>
          <w:sz w:val="40"/>
          <w:szCs w:val="40"/>
          <w:lang w:val="en-US" w:eastAsia="en-US"/>
        </w:rPr>
        <w:t xml:space="preserve">Decision register</w:t>
      </w: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108" w:type="dxa"/>
          <w:bottom w:w="72" w:type="dxa"/>
          <w:right w:w="108" w:type="dxa"/>
        </w:tblCellMar>
        <w:tblCaption w:val="Decision register 1"/>
        <w:tblDescription w:val="Decision register 1"/>
      </w:tblPr>
      <w:tblGrid>
        <w:gridCol w:w="2000"/>
        <w:gridCol w:w="7400"/>
      </w:tblGrid>
      <w:tr>
        <w:trPr>
          <w:cantSplit/>
          <w:trHeight w:val="300" w:hRule="atLeast"/>
          <w:tblHeader/>
        </w:trPr>
        <w:tc>
          <w:tcPr>
            <w:tcW w:w="2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Field</w:t>
            </w:r>
          </w:p>
        </w:tc>
        <w:tc>
          <w:tcPr>
            <w:tcW w:w="7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17324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17324D"/>
              <w:spacing w:line="276" w:lineRule="auto"/>
              <w:jc w:val="left"/>
            </w:pPr>
            <w:r>
              <w:rPr>
                <w:rFonts w:ascii="Carlito" w:hAnsi="Carlito" w:cs="Carlito"/>
                <w:b/>
                <w:noProof/>
                <w:color w:val="FFFFFF"/>
                <w:sz w:val="21"/>
                <w:szCs w:val="21"/>
                <w:lang w:val="en-US" w:eastAsia="en-US"/>
              </w:rPr>
              <w:t xml:space="preserve">Detail</w:t>
            </w:r>
          </w:p>
        </w:tc>
      </w:tr>
      <w:tr>
        <w:trPr>
          <w:cantSplit/>
          <w:trHeight w:val="300" w:hRule="atLeast"/>
        </w:trPr>
        <w:tc>
          <w:tcPr>
            <w:tcW w:w="2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Decision</w:t>
            </w:r>
          </w:p>
        </w:tc>
        <w:tc>
          <w:tcPr>
            <w:tcW w:w="7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Approve EMEA capacity plan</w:t>
            </w:r>
          </w:p>
        </w:tc>
      </w:tr>
      <w:tr>
        <w:trPr>
          <w:cantSplit/>
          <w:trHeight w:val="300" w:hRule="atLeast"/>
        </w:trPr>
        <w:tc>
          <w:tcPr>
            <w:tcW w:w="2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Owner</w:t>
            </w:r>
          </w:p>
        </w:tc>
        <w:tc>
          <w:tcPr>
            <w:tcW w:w="7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Board</w:t>
            </w:r>
          </w:p>
        </w:tc>
      </w:tr>
      <w:tr>
        <w:trPr>
          <w:cantSplit/>
          <w:trHeight w:val="300" w:hRule="atLeast"/>
        </w:trPr>
        <w:tc>
          <w:tcPr>
            <w:tcW w:w="2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Due</w:t>
            </w:r>
          </w:p>
        </w:tc>
        <w:tc>
          <w:tcPr>
            <w:tcW w:w="7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24 June</w:t>
            </w:r>
          </w:p>
        </w:tc>
      </w:tr>
      <w:tr>
        <w:trPr>
          <w:cantSplit/>
          <w:trHeight w:val="300" w:hRule="atLeast"/>
        </w:trPr>
        <w:tc>
          <w:tcPr>
            <w:tcW w:w="20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Rationale</w:t>
            </w:r>
          </w:p>
        </w:tc>
        <w:tc>
          <w:tcPr>
            <w:tcW w:w="7400" w:type="dxa"/>
            <w:tcBorders>
              <w:top w:val="single" w:sz="6" w:space="0" w:color="D9E0E7"/>
              <w:left w:val="single" w:sz="6" w:space="0" w:color="D9E0E7"/>
              <w:bottom w:val="single" w:sz="6" w:space="0" w:color="D9E0E7"/>
              <w:right w:val="single" w:sz="6" w:space="0" w:color="D9E0E7"/>
            </w:tcBorders>
            <w:shd w:val="clear" w:color="auto" w:fill="E3E6E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shd w:val="clear" w:color="auto" w:fill="E3E6EA"/>
              <w:spacing w:line="276" w:lineRule="auto"/>
              <w:jc w:val="left"/>
            </w:pPr>
            <w:r>
              <w:rPr>
                <w:rFonts w:ascii="Carlito" w:hAnsi="Carlito" w:cs="Carlito"/>
                <w:noProof/>
                <w:color w:val="1E293B"/>
                <w:sz w:val="21"/>
                <w:szCs w:val="21"/>
                <w:lang w:val="en-US" w:eastAsia="en-US"/>
              </w:rPr>
              <w:t xml:space="preserve">The plan remains within the existing FY2026 expense envelope.</w:t>
            </w:r>
          </w:p>
        </w:tc>
      </w:tr>
    </w:tbl>
    <w:p>
      <w:pPr>
        <w:spacing w:before="80" w:after="0" w:line="20" w:lineRule="exact"/>
      </w:pPr>
    </w:p>
    <w:sectPr>
      <w:pgSz w:w="12240" w:h="15840"/>
      <w:pgMar w:top="1200" w:right="1125" w:bottom="1155" w:left="1125" w:header="720" w:footer="720" w:gutter="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Arial"/>
  <w:font w:name="Calibri"/>
  <w:font w:name="Calibri Light"/>
  <w:font w:name="Cambria"/>
  <w:font w:name="Carlito"/>
  <w:font w:name="Consolas"/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5"/>
  </w:compat>
  <w:rsids>
    <w:rsidRoot w:val="CE6759E4"/>
    <w:rsid w:val="E8697833"/>
    <w:rsid w:val="E76976A0"/>
  </w:rsids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Carlito" w:hAnsi="Carlito" w:cs="Carlito"/>
        <w:sz w:val="22"/>
        <w:szCs w:val="22"/>
        <w:lang w:val="en-US" w:eastAsia="en-US" w:bidi="en-US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/>
  <w:style w:type="paragraph" w:styleId="Normal" w:default="1">
    <w:name w:val="Normal"/>
    <w:qFormat/>
    <w:pPr>
      <w:spacing w:after="160" w:line="276" w:lineRule="auto"/>
    </w:pPr>
    <w:rPr>
      <w:rFonts w:ascii="Carlito" w:hAnsi="Carlito" w:cs="Carlito"/>
      <w:color w:val="1E293B"/>
      <w:sz w:val="22"/>
      <w:szCs w:val="22"/>
    </w:rPr>
  </w:style>
  <w:style w:type="paragraph" w:styleId="Title">
    <w:name w:val="Title"/>
    <w:basedOn w:val="Normal"/>
    <w:qFormat/>
    <w:pPr>
      <w:spacing w:before="240" w:after="160"/>
    </w:pPr>
    <w:rPr>
      <w:rFonts w:ascii="Carlito" w:hAnsi="Carlito" w:cs="Carlito"/>
      <w:color w:val="17324D"/>
      <w:sz w:val="44"/>
      <w:szCs w:val="44"/>
    </w:rPr>
  </w:style>
  <w:style w:type="paragraph" w:styleId="Subtitle">
    <w:name w:val="Subtitle"/>
    <w:basedOn w:val="Normal"/>
    <w:qFormat/>
    <w:pPr>
      <w:spacing w:after="120"/>
    </w:pPr>
    <w:rPr>
      <w:rFonts w:ascii="Carlito" w:hAnsi="Carlito" w:cs="Carlito"/>
      <w:color w:val="5B5B5B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80"/>
      <w:outlineLvl w:val="0"/>
    </w:pPr>
    <w:rPr>
      <w:rFonts w:ascii="Carlito" w:hAnsi="Carlito" w:cs="Carlito"/>
      <w:b/>
      <w:color w:val="17324D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before="180" w:after="60"/>
      <w:outlineLvl w:val="1"/>
    </w:pPr>
    <w:rPr>
      <w:rFonts w:ascii="Carlito" w:hAnsi="Carlito" w:cs="Carlito"/>
      <w:b/>
      <w:color w:val="17324D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140" w:after="40"/>
      <w:outlineLvl w:val="2"/>
    </w:pPr>
    <w:rPr>
      <w:rFonts w:ascii="Carlito" w:hAnsi="Carlito" w:cs="Carlito"/>
      <w:b/>
      <w:color w:val="17324D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120" w:after="20"/>
      <w:outlineLvl w:val="3"/>
    </w:pPr>
    <w:rPr>
      <w:rFonts w:ascii="Carlito" w:hAnsi="Carlito" w:cs="Carlito"/>
      <w:b/>
      <w:color w:val="17324D"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keepLines/>
      <w:spacing w:before="120" w:after="20"/>
      <w:outlineLvl w:val="4"/>
    </w:pPr>
    <w:rPr>
      <w:rFonts w:ascii="Carlito" w:hAnsi="Carlito" w:cs="Carlito"/>
      <w:b/>
      <w:color w:val="17324D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keepLines/>
      <w:spacing w:before="120" w:after="20"/>
      <w:outlineLvl w:val="5"/>
    </w:pPr>
    <w:rPr>
      <w:rFonts w:ascii="Carlito" w:hAnsi="Carlito" w:cs="Carlito"/>
      <w:b/>
      <w:color w:val="17324D"/>
      <w:sz w:val="22"/>
      <w:szCs w:val="22"/>
    </w:rPr>
  </w:style>
  <w:style w:type="paragraph" w:styleId="CodeBlock">
    <w:name w:val="Code Block"/>
    <w:basedOn w:val="Normal"/>
    <w:qFormat/>
    <w:pPr>
      <w:spacing w:before="80" w:after="80" w:line="240" w:lineRule="auto"/>
    </w:pPr>
    <w:rPr>
      <w:rFonts w:ascii="Consolas" w:hAnsi="Consolas" w:cs="Consolas"/>
      <w:noProof/>
      <w:sz w:val="20"/>
      <w:szCs w:val="20"/>
    </w:rPr>
  </w:style>
  <w:style w:type="paragraph" w:styleId="Divider">
    <w:name w:val="Divider"/>
    <w:basedOn w:val="Normal"/>
    <w:qFormat/>
    <w:pPr>
      <w:spacing w:before="80" w:after="80"/>
    </w:pPr>
  </w:style>
  <w:style w:type="paragraph" w:styleId="ListParagraph">
    <w:name w:val="List Paragraph"/>
    <w:basedOn w:val="Normal"/>
    <w:qFormat/>
    <w:pPr>
      <w:ind w:left="720" w:hanging="360"/>
      <w:contextualSpacing/>
    </w:pPr>
  </w:style>
  <w:style w:type="paragraph" w:styleId="NoSpacing">
    <w:name w:val="No Spacing"/>
    <w:basedOn w:val="Normal"/>
    <w:qFormat/>
  </w:style>
  <w:style w:type="paragraph" w:styleId="Quote">
    <w:name w:val="Quote"/>
    <w:basedOn w:val="Normal"/>
    <w:qFormat/>
    <w:pPr>
      <w:spacing w:before="120" w:after="120"/>
    </w:pPr>
    <w:rPr>
      <w:i/>
      <w:color w:val="666666"/>
    </w:rPr>
  </w:style>
  <w:style w:type="paragraph" w:styleId="IntenseQuote">
    <w:name w:val="Intense Quote"/>
    <w:basedOn w:val="Quote"/>
    <w:qFormat/>
    <w:pPr>
      <w:spacing w:before="160" w:after="160"/>
    </w:pPr>
    <w:rPr>
      <w:i/>
      <w:color w:val="17324D"/>
    </w:rPr>
  </w:style>
  <w:style w:type="paragraph" w:styleId="Header">
    <w:name w:val="Header"/>
    <w:basedOn w:val="Normal"/>
    <w:qFormat/>
    <w:pPr>
      <w:jc w:val="right"/>
    </w:pPr>
    <w:rPr>
      <w:color w:val="666666"/>
      <w:sz w:val="20"/>
      <w:szCs w:val="20"/>
    </w:rPr>
  </w:style>
  <w:style w:type="paragraph" w:styleId="Footer">
    <w:name w:val="Footer"/>
    <w:basedOn w:val="Normal"/>
    <w:qFormat/>
    <w:pPr>
      <w:jc w:val="center"/>
    </w:pPr>
    <w:rPr>
      <w:color w:val="666666"/>
      <w:sz w:val="20"/>
      <w:szCs w:val="20"/>
    </w:rPr>
  </w:style>
  <w:style w:type="character" w:styleId="DefaultParagraphFont">
    <w:name w:val="Default Paragraph Font"/>
  </w:style>
  <w:style w:type="character" w:styleId="Hyperlink">
    <w:name w:val="Hyperlink"/>
    <w:rPr>
      <w:color w:val="0563C1"/>
      <w:u w:val="single"/>
    </w:rPr>
  </w:style>
  <w:style w:type="character" w:styleId="Strong">
    <w:name w:val="Strong"/>
    <w:rPr>
      <w:b/>
    </w:rPr>
  </w:style>
  <w:style w:type="character" w:styleId="Emphasis">
    <w:name w:val="Emphasis"/>
    <w:rPr>
      <w:i/>
    </w:rPr>
  </w:style>
  <w:style w:type="character" w:styleId="Code">
    <w:name w:val="Code"/>
    <w:rPr>
      <w:rFonts w:ascii="Consolas" w:hAnsi="Consolas" w:cs="Consolas"/>
      <w:noProof/>
      <w:sz w:val="20"/>
      <w:szCs w:val="20"/>
    </w:rPr>
  </w:style>
  <w:style w:type="paragraph" w:styleId="FootnoteText">
    <w:name w:val="footnote text"/>
    <w:basedOn w:val="Normal"/>
    <w:qFormat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paragraph" w:styleId="EndnoteText">
    <w:name w:val="endnote text"/>
    <w:basedOn w:val="Normal"/>
    <w:qFormat/>
    <w:rPr>
      <w:sz w:val="20"/>
      <w:szCs w:val="20"/>
    </w:rPr>
  </w:style>
  <w:style w:type="character" w:styleId="EndnoteReference">
    <w:name w:val="endnote reference"/>
    <w:rPr>
      <w:vertAlign w:val="superscript"/>
    </w:rPr>
  </w:style>
  <w:style w:type="paragraph" w:styleId="CommentText">
    <w:name w:val="comment text"/>
    <w:basedOn w:val="Normal"/>
    <w:qFormat/>
    <w:rPr>
      <w:sz w:val="20"/>
      <w:szCs w:val="20"/>
    </w:rPr>
  </w:style>
  <w:style w:type="character" w:styleId="CommentReference">
    <w:name w:val="comment reference"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unstamp Theme">
  <a:themeElements>
    <a:clrScheme name="Runstamp Colors">
      <a:dk1>
        <a:srgbClr val="1E293B"/>
      </a:dk1>
      <a:lt1>
        <a:srgbClr val="FFFFFF"/>
      </a:lt1>
      <a:dk2>
        <a:srgbClr val="1F1F1F"/>
      </a:dk2>
      <a:lt2>
        <a:srgbClr val="F5F5F5"/>
      </a:lt2>
      <a:accent1>
        <a:srgbClr val="17324D"/>
      </a:accent1>
      <a:accent2>
        <a:srgbClr val="64748B"/>
      </a:accent2>
      <a:accent3>
        <a:srgbClr val="2E6CE6"/>
      </a:accent3>
      <a:accent4>
        <a:srgbClr val="FFC000"/>
      </a:accent4>
      <a:accent5>
        <a:srgbClr val="4472C4"/>
      </a:accent5>
      <a:accent6>
        <a:srgbClr val="C00000"/>
      </a:accent6>
      <a:hlink>
        <a:srgbClr val="0563C1"/>
      </a:hlink>
      <a:folHlink>
        <a:srgbClr val="954F72"/>
      </a:folHlink>
    </a:clrScheme>
    <a:fontScheme name="Runstamp Fonts">
      <a:majorFont>
        <a:latin typeface="Carlito"/>
        <a:ea typeface=""/>
        <a:cs typeface=""/>
      </a:majorFont>
      <a:minorFont>
        <a:latin typeface="Carlito"/>
        <a:ea typeface=""/>
        <a:cs typeface=""/>
      </a:minorFont>
    </a:fontScheme>
    <a:fmtScheme name="Runstamp Forma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</a:schemeClr>
            </a:gs>
            <a:gs pos="50000">
              <a:schemeClr val="phClr">
                <a:tint val="98000"/>
                <a:satMod val="130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Runstamp</Application>
  <DocSecurity>0</DocSecurity>
  <ScaleCrop>false</ScaleCrop>
  <Company>Runstamp</Company>
  <LinksUpToDate>false</LinksUpToDate>
  <SharedDoc>false</SharedDoc>
  <HyperlinksChanged>false</HyperlinksChanged>
  <AppVersion>16.0000</AppVersion>
  <Words>0</Words>
  <Characters>0</Character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Q2 FY2026 Client Performance Report</dc:title>
  <dc:subject>Q2 FY2026</dc:subject>
  <dc:creator>@runstamp/docx</dc:creator>
  <cp:keywords/>
  <dc:description/>
  <cp:lastModifiedBy>Lattice Harbor Software</cp:lastModifiedBy>
  <dcterms:created xsi:type="dcterms:W3CDTF">2026-04-10T00:00:00.000Z</dcterms:created>
  <dcterms:modified xsi:type="dcterms:W3CDTF">2026-04-10T00:00:00.000Z</dcterms:modified>
</cp:coreProperties>
</file>